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B3808" w14:textId="661FEF42" w:rsidR="008C7BA5" w:rsidRDefault="008C7BA5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8C7BA5">
        <w:rPr>
          <w:rFonts w:ascii="Arial" w:hAnsi="Arial" w:cs="Arial"/>
          <w:b/>
          <w:sz w:val="28"/>
        </w:rPr>
        <w:t>PARAM</w:t>
      </w:r>
      <w:r w:rsidR="007721CC">
        <w:rPr>
          <w:rFonts w:ascii="Arial" w:hAnsi="Arial" w:cs="Arial"/>
          <w:b/>
          <w:sz w:val="28"/>
        </w:rPr>
        <w:t>E</w:t>
      </w:r>
      <w:r w:rsidRPr="008C7BA5">
        <w:rPr>
          <w:rFonts w:ascii="Arial" w:hAnsi="Arial" w:cs="Arial"/>
          <w:b/>
          <w:sz w:val="28"/>
        </w:rPr>
        <w:t>TRY TECHNICZNE</w:t>
      </w:r>
      <w:r w:rsidR="00FB4579">
        <w:rPr>
          <w:rFonts w:ascii="Arial" w:hAnsi="Arial" w:cs="Arial"/>
          <w:b/>
          <w:sz w:val="28"/>
        </w:rPr>
        <w:t xml:space="preserve"> </w:t>
      </w:r>
    </w:p>
    <w:p w14:paraId="722AAB1D" w14:textId="77777777" w:rsidR="00C31791" w:rsidRDefault="00C31791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0B754249" w14:textId="5CF3EE90" w:rsidR="00C31791" w:rsidRDefault="00C31791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CZĘŚĆ </w:t>
      </w:r>
      <w:r w:rsidR="00081963">
        <w:rPr>
          <w:rFonts w:ascii="Arial" w:hAnsi="Arial" w:cs="Arial"/>
          <w:b/>
          <w:sz w:val="28"/>
        </w:rPr>
        <w:t>1</w:t>
      </w:r>
      <w:bookmarkStart w:id="0" w:name="_GoBack"/>
      <w:bookmarkEnd w:id="0"/>
    </w:p>
    <w:p w14:paraId="170B6415" w14:textId="7D9EDA5A" w:rsidR="008C7BA5" w:rsidRPr="00962261" w:rsidRDefault="008C7BA5" w:rsidP="00962261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504" w:type="dxa"/>
        <w:tblInd w:w="-5" w:type="dxa"/>
        <w:tblLook w:val="04A0" w:firstRow="1" w:lastRow="0" w:firstColumn="1" w:lastColumn="0" w:noHBand="0" w:noVBand="1"/>
      </w:tblPr>
      <w:tblGrid>
        <w:gridCol w:w="851"/>
        <w:gridCol w:w="2126"/>
        <w:gridCol w:w="3260"/>
        <w:gridCol w:w="7"/>
        <w:gridCol w:w="3253"/>
        <w:gridCol w:w="7"/>
      </w:tblGrid>
      <w:tr w:rsidR="008A283A" w:rsidRPr="002766C9" w14:paraId="2ED7E9D4" w14:textId="77777777" w:rsidTr="00384C77">
        <w:trPr>
          <w:trHeight w:val="1025"/>
        </w:trPr>
        <w:tc>
          <w:tcPr>
            <w:tcW w:w="851" w:type="dxa"/>
            <w:vAlign w:val="center"/>
          </w:tcPr>
          <w:p w14:paraId="2B0B3AAB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393" w:type="dxa"/>
            <w:gridSpan w:val="3"/>
            <w:vAlign w:val="center"/>
          </w:tcPr>
          <w:p w14:paraId="68D67F12" w14:textId="1E5EAAC8" w:rsidR="008C7BA5" w:rsidRPr="002766C9" w:rsidRDefault="008C7BA5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E1098F">
              <w:rPr>
                <w:rFonts w:ascii="Arial" w:hAnsi="Arial" w:cs="Arial"/>
                <w:b/>
                <w:sz w:val="20"/>
                <w:szCs w:val="20"/>
              </w:rPr>
              <w:t>wyrobu</w:t>
            </w:r>
            <w:r w:rsidR="00E1098F" w:rsidRPr="002766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66C9">
              <w:rPr>
                <w:rFonts w:ascii="Arial" w:hAnsi="Arial" w:cs="Arial"/>
                <w:b/>
                <w:sz w:val="20"/>
                <w:szCs w:val="20"/>
              </w:rPr>
              <w:t>wymagane przez Zamawiającego</w:t>
            </w:r>
          </w:p>
        </w:tc>
        <w:tc>
          <w:tcPr>
            <w:tcW w:w="3260" w:type="dxa"/>
            <w:gridSpan w:val="2"/>
            <w:vAlign w:val="center"/>
          </w:tcPr>
          <w:p w14:paraId="07D5C449" w14:textId="0F5F4816" w:rsidR="008C7BA5" w:rsidRPr="002766C9" w:rsidRDefault="008C7BA5" w:rsidP="00B10FAA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Parametry techniczne </w:t>
            </w:r>
            <w:r w:rsidR="00E1098F">
              <w:rPr>
                <w:rFonts w:ascii="Arial" w:hAnsi="Arial" w:cs="Arial"/>
                <w:b/>
                <w:sz w:val="20"/>
                <w:szCs w:val="20"/>
              </w:rPr>
              <w:t>wyrobu</w:t>
            </w: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 oferowanego przez  Wykonawcę</w:t>
            </w:r>
          </w:p>
        </w:tc>
      </w:tr>
      <w:tr w:rsidR="008A283A" w:rsidRPr="002766C9" w14:paraId="475B78B4" w14:textId="77777777" w:rsidTr="00384C77">
        <w:trPr>
          <w:trHeight w:val="7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C324488" w14:textId="77777777" w:rsidR="00211A70" w:rsidRPr="008A283A" w:rsidRDefault="00211A70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283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393" w:type="dxa"/>
            <w:gridSpan w:val="3"/>
            <w:shd w:val="clear" w:color="auto" w:fill="F2F2F2" w:themeFill="background1" w:themeFillShade="F2"/>
            <w:vAlign w:val="center"/>
          </w:tcPr>
          <w:p w14:paraId="1F7BD912" w14:textId="77777777" w:rsidR="00211A70" w:rsidRPr="008A283A" w:rsidRDefault="00211A70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283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6D433BD6" w14:textId="77777777" w:rsidR="00211A70" w:rsidRPr="008A283A" w:rsidRDefault="00211A70" w:rsidP="00B10FAA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283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8A283A" w:rsidRPr="002766C9" w14:paraId="20F30494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1B3263E4" w14:textId="72A441D0" w:rsidR="008C7BA5" w:rsidRPr="008A283A" w:rsidRDefault="008C7BA5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72ED4C7" w14:textId="4198C409" w:rsidR="008C7BA5" w:rsidRPr="008A283A" w:rsidRDefault="00081963" w:rsidP="00B10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Kształt czaszy</w:t>
            </w:r>
            <w:r w:rsidR="00384C77" w:rsidRPr="008A283A">
              <w:rPr>
                <w:rFonts w:ascii="Arial" w:hAnsi="Arial" w:cs="Arial"/>
                <w:sz w:val="20"/>
                <w:szCs w:val="20"/>
              </w:rPr>
              <w:t xml:space="preserve"> spadochronu głównego</w:t>
            </w:r>
          </w:p>
        </w:tc>
        <w:tc>
          <w:tcPr>
            <w:tcW w:w="3260" w:type="dxa"/>
            <w:vAlign w:val="center"/>
          </w:tcPr>
          <w:p w14:paraId="5AA5C3E9" w14:textId="5F48B85E" w:rsidR="008C7BA5" w:rsidRPr="008A283A" w:rsidRDefault="00081963" w:rsidP="00567F18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Figura środkowo symetryczna</w:t>
            </w:r>
          </w:p>
        </w:tc>
        <w:tc>
          <w:tcPr>
            <w:tcW w:w="3260" w:type="dxa"/>
            <w:gridSpan w:val="2"/>
            <w:vAlign w:val="center"/>
          </w:tcPr>
          <w:p w14:paraId="2459B7F5" w14:textId="77777777" w:rsidR="008C7BA5" w:rsidRPr="008A283A" w:rsidRDefault="008C7BA5" w:rsidP="00B10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52616D26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5A0FB816" w14:textId="77777777" w:rsidR="00384C77" w:rsidRPr="008A283A" w:rsidRDefault="00384C77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816112A" w14:textId="780D301B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Kształt czaszy spadochronu zapasowego</w:t>
            </w:r>
          </w:p>
        </w:tc>
        <w:tc>
          <w:tcPr>
            <w:tcW w:w="3260" w:type="dxa"/>
            <w:vAlign w:val="center"/>
          </w:tcPr>
          <w:p w14:paraId="719D44AF" w14:textId="192949A8" w:rsidR="00384C77" w:rsidRPr="008A283A" w:rsidRDefault="00384C77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Figura środkowo symetryczna</w:t>
            </w:r>
          </w:p>
        </w:tc>
        <w:tc>
          <w:tcPr>
            <w:tcW w:w="3260" w:type="dxa"/>
            <w:gridSpan w:val="2"/>
            <w:vAlign w:val="center"/>
          </w:tcPr>
          <w:p w14:paraId="3960D1E7" w14:textId="77777777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49B9A953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097A9182" w14:textId="77777777" w:rsidR="00384C77" w:rsidRPr="008A283A" w:rsidRDefault="00384C77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E2CD110" w14:textId="001BDE8D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czaszy spadochronu głównego</w:t>
            </w:r>
          </w:p>
        </w:tc>
        <w:tc>
          <w:tcPr>
            <w:tcW w:w="3260" w:type="dxa"/>
            <w:vAlign w:val="center"/>
          </w:tcPr>
          <w:p w14:paraId="585D2C6D" w14:textId="0E2D2161" w:rsidR="00384C77" w:rsidRPr="008A283A" w:rsidRDefault="00384C77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Oliwkowy </w:t>
            </w:r>
          </w:p>
        </w:tc>
        <w:tc>
          <w:tcPr>
            <w:tcW w:w="3260" w:type="dxa"/>
            <w:gridSpan w:val="2"/>
            <w:vAlign w:val="center"/>
          </w:tcPr>
          <w:p w14:paraId="097E34BB" w14:textId="77777777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70454CB4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438F04F6" w14:textId="77777777" w:rsidR="00384C77" w:rsidRPr="008A283A" w:rsidRDefault="00384C77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0BE25A9" w14:textId="011A3A6A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czaszy spadochronu zapasowego</w:t>
            </w:r>
          </w:p>
        </w:tc>
        <w:tc>
          <w:tcPr>
            <w:tcW w:w="3260" w:type="dxa"/>
            <w:vAlign w:val="center"/>
          </w:tcPr>
          <w:p w14:paraId="79B7AB7E" w14:textId="36C90F79" w:rsidR="00384C77" w:rsidRPr="008A283A" w:rsidRDefault="00384C77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Biały lub oliwkowy </w:t>
            </w:r>
          </w:p>
        </w:tc>
        <w:tc>
          <w:tcPr>
            <w:tcW w:w="3260" w:type="dxa"/>
            <w:gridSpan w:val="2"/>
            <w:vAlign w:val="center"/>
          </w:tcPr>
          <w:p w14:paraId="163AFE95" w14:textId="77777777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6C1944D1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2EF5DB38" w14:textId="77777777" w:rsidR="00384C77" w:rsidRPr="008A283A" w:rsidRDefault="00384C77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8E7AF5D" w14:textId="6C48614C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osłony czaszy głównej</w:t>
            </w:r>
          </w:p>
        </w:tc>
        <w:tc>
          <w:tcPr>
            <w:tcW w:w="3260" w:type="dxa"/>
            <w:vAlign w:val="center"/>
          </w:tcPr>
          <w:p w14:paraId="5B3F4937" w14:textId="149EEF47" w:rsidR="00384C77" w:rsidRPr="008A283A" w:rsidRDefault="00384C77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Biały lub oliwkowy</w:t>
            </w:r>
          </w:p>
        </w:tc>
        <w:tc>
          <w:tcPr>
            <w:tcW w:w="3260" w:type="dxa"/>
            <w:gridSpan w:val="2"/>
            <w:vAlign w:val="center"/>
          </w:tcPr>
          <w:p w14:paraId="25E8B94B" w14:textId="77777777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1BE84B36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7C34260E" w14:textId="77777777" w:rsidR="00384C77" w:rsidRPr="008A283A" w:rsidRDefault="00384C77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7A4E1E4" w14:textId="4AF5C56C" w:rsidR="00384C77" w:rsidRPr="008A283A" w:rsidRDefault="00384C77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pokrowca spadochronu głównego i zapasowego</w:t>
            </w:r>
          </w:p>
        </w:tc>
        <w:tc>
          <w:tcPr>
            <w:tcW w:w="3260" w:type="dxa"/>
            <w:vAlign w:val="center"/>
          </w:tcPr>
          <w:p w14:paraId="0B7ADCF2" w14:textId="7C49B54E" w:rsidR="00384C77" w:rsidRPr="008A283A" w:rsidRDefault="00384C77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Oliwkowy </w:t>
            </w:r>
          </w:p>
        </w:tc>
        <w:tc>
          <w:tcPr>
            <w:tcW w:w="3260" w:type="dxa"/>
            <w:gridSpan w:val="2"/>
            <w:vAlign w:val="center"/>
          </w:tcPr>
          <w:p w14:paraId="037ADFCC" w14:textId="77777777" w:rsidR="00384C77" w:rsidRPr="008A283A" w:rsidRDefault="00384C77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2C1670D0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156AFB15" w14:textId="77777777" w:rsidR="000248ED" w:rsidRPr="008A283A" w:rsidRDefault="000248ED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42F0FBF" w14:textId="14C773B3" w:rsidR="000248ED" w:rsidRPr="008A283A" w:rsidRDefault="000248E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Uchwyt transportowy na pokrowcu</w:t>
            </w:r>
          </w:p>
        </w:tc>
        <w:tc>
          <w:tcPr>
            <w:tcW w:w="3260" w:type="dxa"/>
            <w:vAlign w:val="center"/>
          </w:tcPr>
          <w:p w14:paraId="5C7BF84A" w14:textId="43CE36C2" w:rsidR="000248ED" w:rsidRPr="008A283A" w:rsidRDefault="000248E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  <w:gridSpan w:val="2"/>
            <w:vAlign w:val="center"/>
          </w:tcPr>
          <w:p w14:paraId="1AF109EC" w14:textId="77777777" w:rsidR="000248ED" w:rsidRPr="008A283A" w:rsidRDefault="000248ED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29B55B5B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CEB6F60" w14:textId="77777777" w:rsidR="000248ED" w:rsidRPr="008A283A" w:rsidRDefault="000248ED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1C8D2B" w14:textId="025F0C20" w:rsidR="000248ED" w:rsidRPr="008A283A" w:rsidRDefault="008A283A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</w:t>
            </w:r>
            <w:r w:rsidR="000248ED" w:rsidRPr="008A283A">
              <w:rPr>
                <w:rFonts w:ascii="Arial" w:hAnsi="Arial" w:cs="Arial"/>
                <w:sz w:val="20"/>
                <w:szCs w:val="20"/>
              </w:rPr>
              <w:t>abezpiecz</w:t>
            </w:r>
            <w:r w:rsidRPr="008A283A">
              <w:rPr>
                <w:rFonts w:ascii="Arial" w:hAnsi="Arial" w:cs="Arial"/>
                <w:sz w:val="20"/>
                <w:szCs w:val="20"/>
              </w:rPr>
              <w:t xml:space="preserve">enie </w:t>
            </w:r>
            <w:r w:rsidR="000248ED" w:rsidRPr="008A283A">
              <w:rPr>
                <w:rFonts w:ascii="Arial" w:hAnsi="Arial" w:cs="Arial"/>
                <w:sz w:val="20"/>
                <w:szCs w:val="20"/>
              </w:rPr>
              <w:t>przed przerzuceniem linek nośnych podczas otwarcia spadochronu</w:t>
            </w:r>
          </w:p>
        </w:tc>
        <w:tc>
          <w:tcPr>
            <w:tcW w:w="3260" w:type="dxa"/>
            <w:vAlign w:val="center"/>
          </w:tcPr>
          <w:p w14:paraId="7560758C" w14:textId="0F594276" w:rsidR="000248ED" w:rsidRPr="008A283A" w:rsidRDefault="008A283A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Siatka wzdłuż dolnego obrzeża czaszy głównej,</w:t>
            </w:r>
          </w:p>
        </w:tc>
        <w:tc>
          <w:tcPr>
            <w:tcW w:w="3260" w:type="dxa"/>
            <w:gridSpan w:val="2"/>
            <w:vAlign w:val="center"/>
          </w:tcPr>
          <w:p w14:paraId="108A6E47" w14:textId="77777777" w:rsidR="000248ED" w:rsidRPr="008A283A" w:rsidRDefault="000248ED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7951A946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6B008A86" w14:textId="77777777" w:rsidR="000248ED" w:rsidRPr="008A283A" w:rsidRDefault="000248ED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CF1D7C" w14:textId="7C21F810" w:rsidR="000248ED" w:rsidRPr="008A283A" w:rsidRDefault="000248E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Możliwość wyczepienia dwóch taśm nośnych po wylądowaniu </w:t>
            </w:r>
          </w:p>
        </w:tc>
        <w:tc>
          <w:tcPr>
            <w:tcW w:w="3260" w:type="dxa"/>
            <w:vAlign w:val="center"/>
          </w:tcPr>
          <w:p w14:paraId="3AAAD99E" w14:textId="3E367A6B" w:rsidR="000248ED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prawą lub lewą ręką</w:t>
            </w:r>
          </w:p>
        </w:tc>
        <w:tc>
          <w:tcPr>
            <w:tcW w:w="3260" w:type="dxa"/>
            <w:gridSpan w:val="2"/>
            <w:vAlign w:val="center"/>
          </w:tcPr>
          <w:p w14:paraId="476B4562" w14:textId="77777777" w:rsidR="000248ED" w:rsidRPr="008A283A" w:rsidRDefault="000248ED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1B7D1318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40E56F58" w14:textId="7B547C7A" w:rsidR="000248ED" w:rsidRPr="008A283A" w:rsidRDefault="000248ED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CED56AA" w14:textId="60EA08E3" w:rsidR="000248ED" w:rsidRPr="008A283A" w:rsidRDefault="000248E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Taśmy regulacyjne oraz taśmy udowe i piersiowa </w:t>
            </w:r>
          </w:p>
        </w:tc>
        <w:tc>
          <w:tcPr>
            <w:tcW w:w="3260" w:type="dxa"/>
            <w:vAlign w:val="center"/>
          </w:tcPr>
          <w:p w14:paraId="78228D79" w14:textId="0D63C8B4" w:rsidR="000248ED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 regulacją uniemożliwiającą samoczynne luzowanie się bez ingerencji skoczka</w:t>
            </w:r>
          </w:p>
        </w:tc>
        <w:tc>
          <w:tcPr>
            <w:tcW w:w="3260" w:type="dxa"/>
            <w:gridSpan w:val="2"/>
            <w:vAlign w:val="center"/>
          </w:tcPr>
          <w:p w14:paraId="609A535D" w14:textId="77777777" w:rsidR="000248ED" w:rsidRPr="008A283A" w:rsidRDefault="000248ED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4C68BA02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E9E1E1A" w14:textId="77777777" w:rsidR="000248ED" w:rsidRPr="008A283A" w:rsidRDefault="000248ED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2F5AFA0" w14:textId="25276109" w:rsidR="000248ED" w:rsidRPr="008A283A" w:rsidRDefault="000248E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Oznakowanie regulacji </w:t>
            </w:r>
          </w:p>
        </w:tc>
        <w:tc>
          <w:tcPr>
            <w:tcW w:w="3260" w:type="dxa"/>
            <w:vAlign w:val="center"/>
          </w:tcPr>
          <w:p w14:paraId="365F6158" w14:textId="72C26145" w:rsidR="000248ED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w postaci naszytych cech</w:t>
            </w:r>
          </w:p>
        </w:tc>
        <w:tc>
          <w:tcPr>
            <w:tcW w:w="3260" w:type="dxa"/>
            <w:gridSpan w:val="2"/>
            <w:vAlign w:val="center"/>
          </w:tcPr>
          <w:p w14:paraId="04264D1B" w14:textId="77777777" w:rsidR="000248ED" w:rsidRPr="008A283A" w:rsidRDefault="000248ED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413CF5DA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5BF3B81C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EAE942" w14:textId="0021F009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Pętle zamykające pokrowiec spadochronu lub zapięcie spadochronu </w:t>
            </w:r>
          </w:p>
        </w:tc>
        <w:tc>
          <w:tcPr>
            <w:tcW w:w="3260" w:type="dxa"/>
            <w:vAlign w:val="center"/>
          </w:tcPr>
          <w:p w14:paraId="62034FB5" w14:textId="3ECCFB74" w:rsidR="00C154C3" w:rsidRPr="008A283A" w:rsidRDefault="008A283A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za pomocą sznura obrywnego</w:t>
            </w:r>
          </w:p>
        </w:tc>
        <w:tc>
          <w:tcPr>
            <w:tcW w:w="3260" w:type="dxa"/>
            <w:gridSpan w:val="2"/>
            <w:vAlign w:val="center"/>
          </w:tcPr>
          <w:p w14:paraId="3415BE94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3FE70B9D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760936BE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A860C23" w14:textId="6E9F86C4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Kolor lin wyciągających </w:t>
            </w:r>
          </w:p>
        </w:tc>
        <w:tc>
          <w:tcPr>
            <w:tcW w:w="3260" w:type="dxa"/>
            <w:vAlign w:val="center"/>
          </w:tcPr>
          <w:p w14:paraId="638C70F5" w14:textId="26B4F992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Oliwkowy </w:t>
            </w:r>
          </w:p>
        </w:tc>
        <w:tc>
          <w:tcPr>
            <w:tcW w:w="3260" w:type="dxa"/>
            <w:gridSpan w:val="2"/>
            <w:vAlign w:val="center"/>
          </w:tcPr>
          <w:p w14:paraId="1DD64378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2EEAD8D4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0D31D379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B8A7337" w14:textId="20BCB4E8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Długość lin wyciągających </w:t>
            </w:r>
          </w:p>
        </w:tc>
        <w:tc>
          <w:tcPr>
            <w:tcW w:w="3260" w:type="dxa"/>
            <w:vAlign w:val="center"/>
          </w:tcPr>
          <w:p w14:paraId="1972EFE8" w14:textId="46733513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4 m oraz 4,8 m </w:t>
            </w:r>
          </w:p>
        </w:tc>
        <w:tc>
          <w:tcPr>
            <w:tcW w:w="3260" w:type="dxa"/>
            <w:gridSpan w:val="2"/>
            <w:vAlign w:val="center"/>
          </w:tcPr>
          <w:p w14:paraId="696A5279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78B17062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500ECE99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318AFC7" w14:textId="6180495A" w:rsidR="00C154C3" w:rsidRPr="008A283A" w:rsidRDefault="008A283A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Liny wyciągające z o</w:t>
            </w:r>
            <w:r w:rsidR="00C154C3" w:rsidRPr="008A283A">
              <w:rPr>
                <w:rFonts w:ascii="Arial" w:hAnsi="Arial" w:cs="Arial"/>
                <w:sz w:val="20"/>
                <w:szCs w:val="20"/>
              </w:rPr>
              <w:t>słon</w:t>
            </w:r>
            <w:r w:rsidRPr="008A283A">
              <w:rPr>
                <w:rFonts w:ascii="Arial" w:hAnsi="Arial" w:cs="Arial"/>
                <w:sz w:val="20"/>
                <w:szCs w:val="20"/>
              </w:rPr>
              <w:t>ą</w:t>
            </w:r>
            <w:r w:rsidR="00C154C3" w:rsidRPr="008A283A">
              <w:rPr>
                <w:rFonts w:ascii="Arial" w:hAnsi="Arial" w:cs="Arial"/>
                <w:sz w:val="20"/>
                <w:szCs w:val="20"/>
              </w:rPr>
              <w:t xml:space="preserve"> na elementy zamykające pokrowiec</w:t>
            </w:r>
          </w:p>
        </w:tc>
        <w:tc>
          <w:tcPr>
            <w:tcW w:w="3260" w:type="dxa"/>
            <w:vAlign w:val="center"/>
          </w:tcPr>
          <w:p w14:paraId="451C4A39" w14:textId="171909BB" w:rsidR="00C154C3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  <w:gridSpan w:val="2"/>
            <w:vAlign w:val="center"/>
          </w:tcPr>
          <w:p w14:paraId="695839E2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2CDE9615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16766312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6C37823" w14:textId="61585B7F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Lina wyciągająca </w:t>
            </w:r>
          </w:p>
        </w:tc>
        <w:tc>
          <w:tcPr>
            <w:tcW w:w="3260" w:type="dxa"/>
            <w:vAlign w:val="center"/>
          </w:tcPr>
          <w:p w14:paraId="23E4C550" w14:textId="15BB01FD" w:rsidR="00C154C3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 możliwością samodzielnego demontażu/montażu elementów służących do zamykania pokrowca (jeśli takie zapięcie będzie występować)</w:t>
            </w:r>
          </w:p>
        </w:tc>
        <w:tc>
          <w:tcPr>
            <w:tcW w:w="3260" w:type="dxa"/>
            <w:gridSpan w:val="2"/>
            <w:vAlign w:val="center"/>
          </w:tcPr>
          <w:p w14:paraId="1A724570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44BB73B1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5F513CAC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917910" w14:textId="670E29A7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System podwieszania zasobnika</w:t>
            </w:r>
          </w:p>
        </w:tc>
        <w:tc>
          <w:tcPr>
            <w:tcW w:w="3260" w:type="dxa"/>
            <w:vAlign w:val="center"/>
          </w:tcPr>
          <w:p w14:paraId="49DE27D7" w14:textId="01392A22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 możliwością montażu zasobników indywidualnych WS</w:t>
            </w:r>
          </w:p>
        </w:tc>
        <w:tc>
          <w:tcPr>
            <w:tcW w:w="3260" w:type="dxa"/>
            <w:gridSpan w:val="2"/>
            <w:vAlign w:val="center"/>
          </w:tcPr>
          <w:p w14:paraId="6AAB3274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39D6D7F7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D9601D4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ED0F363" w14:textId="0710979F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Pokrowiec spadochronu zapasowego</w:t>
            </w:r>
          </w:p>
        </w:tc>
        <w:tc>
          <w:tcPr>
            <w:tcW w:w="3260" w:type="dxa"/>
            <w:vAlign w:val="center"/>
          </w:tcPr>
          <w:p w14:paraId="711600D7" w14:textId="2B4BFBEA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 możliwością montażu noża spadochronowego i latarki</w:t>
            </w:r>
          </w:p>
        </w:tc>
        <w:tc>
          <w:tcPr>
            <w:tcW w:w="3260" w:type="dxa"/>
            <w:gridSpan w:val="2"/>
            <w:vAlign w:val="center"/>
          </w:tcPr>
          <w:p w14:paraId="742B3D2D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7BEE436B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6E9CC13E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AE6A6D" w14:textId="6D83E2D9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Kolor uchwytu wyzwalającego spadochronu zapasowego </w:t>
            </w:r>
          </w:p>
        </w:tc>
        <w:tc>
          <w:tcPr>
            <w:tcW w:w="3260" w:type="dxa"/>
            <w:vAlign w:val="center"/>
          </w:tcPr>
          <w:p w14:paraId="543597A9" w14:textId="510243A9" w:rsidR="00C154C3" w:rsidRPr="008A283A" w:rsidRDefault="00C154C3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czerwony</w:t>
            </w:r>
          </w:p>
        </w:tc>
        <w:tc>
          <w:tcPr>
            <w:tcW w:w="3260" w:type="dxa"/>
            <w:gridSpan w:val="2"/>
            <w:vAlign w:val="center"/>
          </w:tcPr>
          <w:p w14:paraId="270813D9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00E09ADB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4D834407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D598A9" w14:textId="661F6E6A" w:rsidR="00C154C3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Uchwyt wyzwalający spadochrony zapasowego </w:t>
            </w:r>
          </w:p>
        </w:tc>
        <w:tc>
          <w:tcPr>
            <w:tcW w:w="3260" w:type="dxa"/>
            <w:vAlign w:val="center"/>
          </w:tcPr>
          <w:p w14:paraId="004E5641" w14:textId="61DC6DF6" w:rsidR="00C154C3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 możliwością aktywacji lewą lub prawą ręką</w:t>
            </w:r>
          </w:p>
        </w:tc>
        <w:tc>
          <w:tcPr>
            <w:tcW w:w="3260" w:type="dxa"/>
            <w:gridSpan w:val="2"/>
            <w:vAlign w:val="center"/>
          </w:tcPr>
          <w:p w14:paraId="584F9A55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C3" w:rsidRPr="002766C9" w14:paraId="14A269C3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50CC6D5F" w14:textId="77777777" w:rsidR="00C154C3" w:rsidRPr="008A283A" w:rsidRDefault="00C154C3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D8CA9F5" w14:textId="6128137E" w:rsidR="00C154C3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Zasobnik-uprząż do pomieszczenia torby (plecaka)</w:t>
            </w:r>
          </w:p>
        </w:tc>
        <w:tc>
          <w:tcPr>
            <w:tcW w:w="3260" w:type="dxa"/>
            <w:vAlign w:val="center"/>
          </w:tcPr>
          <w:p w14:paraId="2860EAAE" w14:textId="6AE3A89A" w:rsidR="00C154C3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Z możliwością zwolnienia zasobnika w czasie skoku jednym uchwytem </w:t>
            </w:r>
          </w:p>
        </w:tc>
        <w:tc>
          <w:tcPr>
            <w:tcW w:w="3260" w:type="dxa"/>
            <w:gridSpan w:val="2"/>
            <w:vAlign w:val="center"/>
          </w:tcPr>
          <w:p w14:paraId="2917E469" w14:textId="77777777" w:rsidR="00C154C3" w:rsidRPr="008A283A" w:rsidRDefault="00C154C3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50D" w:rsidRPr="002766C9" w14:paraId="5B28FB70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176C438" w14:textId="77777777" w:rsidR="0058450D" w:rsidRPr="008A283A" w:rsidRDefault="0058450D" w:rsidP="00384C7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526539" w14:textId="212522AE" w:rsidR="0058450D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uchwytu do zwolnienia zasobnika</w:t>
            </w:r>
          </w:p>
        </w:tc>
        <w:tc>
          <w:tcPr>
            <w:tcW w:w="3260" w:type="dxa"/>
            <w:vAlign w:val="center"/>
          </w:tcPr>
          <w:p w14:paraId="5801FD1E" w14:textId="25AFBF1E" w:rsidR="0058450D" w:rsidRPr="008A283A" w:rsidRDefault="0058450D" w:rsidP="00384C77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Kontrastujący-żółty</w:t>
            </w:r>
          </w:p>
        </w:tc>
        <w:tc>
          <w:tcPr>
            <w:tcW w:w="3260" w:type="dxa"/>
            <w:gridSpan w:val="2"/>
            <w:vAlign w:val="center"/>
          </w:tcPr>
          <w:p w14:paraId="5F5857B1" w14:textId="77777777" w:rsidR="0058450D" w:rsidRPr="008A283A" w:rsidRDefault="0058450D" w:rsidP="00384C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3C3EB475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79B9D65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7F21051" w14:textId="4C5C564A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Zasobnik-uprząż do pomieszczenia torby (plecaka)</w:t>
            </w:r>
          </w:p>
        </w:tc>
        <w:tc>
          <w:tcPr>
            <w:tcW w:w="3260" w:type="dxa"/>
            <w:vAlign w:val="center"/>
          </w:tcPr>
          <w:p w14:paraId="4C68F174" w14:textId="4EDD4C1F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posiada system hamulca </w:t>
            </w:r>
          </w:p>
        </w:tc>
        <w:tc>
          <w:tcPr>
            <w:tcW w:w="3260" w:type="dxa"/>
            <w:gridSpan w:val="2"/>
            <w:vAlign w:val="center"/>
          </w:tcPr>
          <w:p w14:paraId="7103DCE8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50D" w:rsidRPr="002766C9" w14:paraId="24EA67C1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5C8F2D78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BD032ED" w14:textId="61426248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zasobnika-uprzęży do pomieszczenia torby (plecaka)</w:t>
            </w:r>
          </w:p>
        </w:tc>
        <w:tc>
          <w:tcPr>
            <w:tcW w:w="3260" w:type="dxa"/>
            <w:vAlign w:val="center"/>
          </w:tcPr>
          <w:p w14:paraId="7D3EA23C" w14:textId="12B95315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Khaki </w:t>
            </w:r>
          </w:p>
        </w:tc>
        <w:tc>
          <w:tcPr>
            <w:tcW w:w="3260" w:type="dxa"/>
            <w:gridSpan w:val="2"/>
            <w:vAlign w:val="center"/>
          </w:tcPr>
          <w:p w14:paraId="66E2C69D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1DA061DB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7848F531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1F35F60" w14:textId="7F026888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łącznika osłony czaszy głównej</w:t>
            </w:r>
          </w:p>
        </w:tc>
        <w:tc>
          <w:tcPr>
            <w:tcW w:w="3260" w:type="dxa"/>
            <w:vAlign w:val="center"/>
          </w:tcPr>
          <w:p w14:paraId="109EA20C" w14:textId="1D05AF84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Kontrastujący - żółty</w:t>
            </w:r>
          </w:p>
        </w:tc>
        <w:tc>
          <w:tcPr>
            <w:tcW w:w="3260" w:type="dxa"/>
            <w:gridSpan w:val="2"/>
            <w:vAlign w:val="center"/>
          </w:tcPr>
          <w:p w14:paraId="30BB545E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06BC3780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711222E5" w14:textId="73722762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FD1B1B0" w14:textId="3398BDA0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Kolor worka transportowego do przemieszczania całego zestawu</w:t>
            </w:r>
          </w:p>
        </w:tc>
        <w:tc>
          <w:tcPr>
            <w:tcW w:w="3260" w:type="dxa"/>
            <w:vAlign w:val="center"/>
          </w:tcPr>
          <w:p w14:paraId="0A9A8894" w14:textId="05ECD44D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Oliwkowy </w:t>
            </w:r>
          </w:p>
        </w:tc>
        <w:tc>
          <w:tcPr>
            <w:tcW w:w="3260" w:type="dxa"/>
            <w:gridSpan w:val="2"/>
            <w:vAlign w:val="center"/>
          </w:tcPr>
          <w:p w14:paraId="65764EDC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61817202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6A11FB61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EE5A841" w14:textId="151EF73E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Kolor uprzęży i taśm nośnych </w:t>
            </w:r>
          </w:p>
        </w:tc>
        <w:tc>
          <w:tcPr>
            <w:tcW w:w="3260" w:type="dxa"/>
            <w:vAlign w:val="center"/>
          </w:tcPr>
          <w:p w14:paraId="5B74B4A8" w14:textId="6DC17F9B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Oliwkowy </w:t>
            </w:r>
          </w:p>
        </w:tc>
        <w:tc>
          <w:tcPr>
            <w:tcW w:w="3260" w:type="dxa"/>
            <w:gridSpan w:val="2"/>
            <w:vAlign w:val="center"/>
          </w:tcPr>
          <w:p w14:paraId="27437237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784F131A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A623737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4ED1644" w14:textId="55645420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Powierzchnia czaszy głównej</w:t>
            </w:r>
          </w:p>
        </w:tc>
        <w:tc>
          <w:tcPr>
            <w:tcW w:w="3260" w:type="dxa"/>
            <w:vAlign w:val="center"/>
          </w:tcPr>
          <w:p w14:paraId="767C0E02" w14:textId="38F8F7C1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Proszę podać powierzchnię czaszy:</w:t>
            </w:r>
          </w:p>
        </w:tc>
        <w:tc>
          <w:tcPr>
            <w:tcW w:w="3260" w:type="dxa"/>
            <w:gridSpan w:val="2"/>
            <w:vAlign w:val="center"/>
          </w:tcPr>
          <w:p w14:paraId="103264BB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01C08D70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C142421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BBADAE1" w14:textId="67308C30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Powierzchnia czaszy zapasowej</w:t>
            </w:r>
          </w:p>
        </w:tc>
        <w:tc>
          <w:tcPr>
            <w:tcW w:w="3260" w:type="dxa"/>
            <w:vAlign w:val="center"/>
          </w:tcPr>
          <w:p w14:paraId="7A6BE238" w14:textId="2E55E9E2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Proszę podać powierzchnię czaszy:</w:t>
            </w:r>
          </w:p>
        </w:tc>
        <w:tc>
          <w:tcPr>
            <w:tcW w:w="3260" w:type="dxa"/>
            <w:gridSpan w:val="2"/>
            <w:vAlign w:val="center"/>
          </w:tcPr>
          <w:p w14:paraId="17D2818C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21BDA01D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628AC277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05343F9" w14:textId="0F61DE44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Czas obrotu </w:t>
            </w:r>
            <w:r w:rsidR="005E232F" w:rsidRPr="008A283A">
              <w:rPr>
                <w:rFonts w:ascii="Arial" w:hAnsi="Arial" w:cs="Arial"/>
                <w:sz w:val="20"/>
                <w:szCs w:val="20"/>
              </w:rPr>
              <w:t xml:space="preserve">spadochronu głównego </w:t>
            </w:r>
            <w:r w:rsidRPr="008A283A">
              <w:rPr>
                <w:rFonts w:ascii="Arial" w:hAnsi="Arial" w:cs="Arial"/>
                <w:sz w:val="20"/>
                <w:szCs w:val="20"/>
              </w:rPr>
              <w:t>wokół własnej osi o 180º</w:t>
            </w:r>
          </w:p>
        </w:tc>
        <w:tc>
          <w:tcPr>
            <w:tcW w:w="3260" w:type="dxa"/>
            <w:vAlign w:val="center"/>
          </w:tcPr>
          <w:p w14:paraId="15635AC9" w14:textId="01A64C9E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dłuższy niż 14 s</w:t>
            </w:r>
          </w:p>
        </w:tc>
        <w:tc>
          <w:tcPr>
            <w:tcW w:w="3260" w:type="dxa"/>
            <w:gridSpan w:val="2"/>
            <w:vAlign w:val="center"/>
          </w:tcPr>
          <w:p w14:paraId="1F9E94C2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11848E96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2871E02B" w14:textId="363C7EC2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B19D4D" w14:textId="39931FC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Maksymalne obciążenie czaszy głównej oraz czaszy zapasowej</w:t>
            </w:r>
          </w:p>
        </w:tc>
        <w:tc>
          <w:tcPr>
            <w:tcW w:w="3260" w:type="dxa"/>
            <w:vAlign w:val="center"/>
          </w:tcPr>
          <w:p w14:paraId="3FEC57FB" w14:textId="7147C8B4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mniejsze niż 170 kg</w:t>
            </w:r>
          </w:p>
        </w:tc>
        <w:tc>
          <w:tcPr>
            <w:tcW w:w="3260" w:type="dxa"/>
            <w:gridSpan w:val="2"/>
            <w:vAlign w:val="center"/>
          </w:tcPr>
          <w:p w14:paraId="68F81D2F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51213233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26035BB0" w14:textId="672DB7B5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9E13212" w14:textId="45229DF9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Średnia pionowa prędkość opadania na czaszy głównej przy maksymalnym dopuszczalnym obciążeniu </w:t>
            </w:r>
          </w:p>
        </w:tc>
        <w:tc>
          <w:tcPr>
            <w:tcW w:w="3260" w:type="dxa"/>
            <w:vAlign w:val="center"/>
          </w:tcPr>
          <w:p w14:paraId="7F4AD326" w14:textId="0B89D955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większa niż 5,5 m/s</w:t>
            </w:r>
          </w:p>
        </w:tc>
        <w:tc>
          <w:tcPr>
            <w:tcW w:w="3260" w:type="dxa"/>
            <w:gridSpan w:val="2"/>
            <w:vAlign w:val="center"/>
          </w:tcPr>
          <w:p w14:paraId="7493473F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2DE82079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78CD5F60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D0D909" w14:textId="1B9E2472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Średnia pionowa prędkość opadania na czaszy zapasowej przy maksymalnym dopuszczalnym obciążeniu </w:t>
            </w:r>
          </w:p>
        </w:tc>
        <w:tc>
          <w:tcPr>
            <w:tcW w:w="3260" w:type="dxa"/>
            <w:vAlign w:val="center"/>
          </w:tcPr>
          <w:p w14:paraId="5C233584" w14:textId="1CE8D866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większa niż 8,5 m/s</w:t>
            </w:r>
          </w:p>
        </w:tc>
        <w:tc>
          <w:tcPr>
            <w:tcW w:w="3260" w:type="dxa"/>
            <w:gridSpan w:val="2"/>
            <w:vAlign w:val="center"/>
          </w:tcPr>
          <w:p w14:paraId="4DC8DD8C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43875DF9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018FA12D" w14:textId="4A2601E0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26FC3B" w14:textId="3898932C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Minimalna wysokość skoku</w:t>
            </w:r>
            <w:r w:rsidR="005E232F" w:rsidRPr="008A28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8A76F2D" w14:textId="1989B752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wyższa niż 150 m</w:t>
            </w:r>
          </w:p>
        </w:tc>
        <w:tc>
          <w:tcPr>
            <w:tcW w:w="3260" w:type="dxa"/>
            <w:gridSpan w:val="2"/>
            <w:vAlign w:val="center"/>
          </w:tcPr>
          <w:p w14:paraId="0A60ED97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40E904E0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B2CE210" w14:textId="40B070AB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3E95A07" w14:textId="1A32ACED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Prędkość postępowa dla opcji sterowanej</w:t>
            </w:r>
          </w:p>
        </w:tc>
        <w:tc>
          <w:tcPr>
            <w:tcW w:w="3260" w:type="dxa"/>
            <w:vAlign w:val="center"/>
          </w:tcPr>
          <w:p w14:paraId="6A2F8CB1" w14:textId="0C82E73A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większa niż 4,5 m/s</w:t>
            </w:r>
          </w:p>
        </w:tc>
        <w:tc>
          <w:tcPr>
            <w:tcW w:w="3260" w:type="dxa"/>
            <w:gridSpan w:val="2"/>
            <w:vAlign w:val="center"/>
          </w:tcPr>
          <w:p w14:paraId="3D354D73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2ABEA86C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16C257AA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8A9C995" w14:textId="5CA10A4A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Maksymalna prędkość użycia spadochronu dla czaszy głównej oraz dla czaszy zapasowej </w:t>
            </w:r>
          </w:p>
        </w:tc>
        <w:tc>
          <w:tcPr>
            <w:tcW w:w="3260" w:type="dxa"/>
            <w:vAlign w:val="center"/>
          </w:tcPr>
          <w:p w14:paraId="64A73524" w14:textId="6DB0AC08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mniejsza niż 260 km/h</w:t>
            </w:r>
          </w:p>
        </w:tc>
        <w:tc>
          <w:tcPr>
            <w:tcW w:w="3260" w:type="dxa"/>
            <w:gridSpan w:val="2"/>
            <w:vAlign w:val="center"/>
          </w:tcPr>
          <w:p w14:paraId="7DAE8203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6E0B2F84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68DC3181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26416D3" w14:textId="418CE99D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Masa spadochronu głównego (bez torby transportowej)</w:t>
            </w:r>
          </w:p>
        </w:tc>
        <w:tc>
          <w:tcPr>
            <w:tcW w:w="3260" w:type="dxa"/>
            <w:vAlign w:val="center"/>
          </w:tcPr>
          <w:p w14:paraId="34CC8B3F" w14:textId="45076A08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większa niż 19 kg</w:t>
            </w:r>
          </w:p>
        </w:tc>
        <w:tc>
          <w:tcPr>
            <w:tcW w:w="3260" w:type="dxa"/>
            <w:gridSpan w:val="2"/>
            <w:vAlign w:val="center"/>
          </w:tcPr>
          <w:p w14:paraId="2606CDA0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5C7A3513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22D26915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160226" w14:textId="11116F1A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Masa spadochronu zapasowego (bez torby transportowej)</w:t>
            </w:r>
          </w:p>
        </w:tc>
        <w:tc>
          <w:tcPr>
            <w:tcW w:w="3260" w:type="dxa"/>
            <w:vAlign w:val="center"/>
          </w:tcPr>
          <w:p w14:paraId="505D5C7F" w14:textId="7CB8EB3D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większa niż 9 kg</w:t>
            </w:r>
          </w:p>
        </w:tc>
        <w:tc>
          <w:tcPr>
            <w:tcW w:w="3260" w:type="dxa"/>
            <w:gridSpan w:val="2"/>
            <w:vAlign w:val="center"/>
          </w:tcPr>
          <w:p w14:paraId="28B2552C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0DD5FCA7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02C01399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DBC7973" w14:textId="597C1B69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Okres przechowywania spadochronu głównego i zapasowego ułożonego do skoku</w:t>
            </w:r>
          </w:p>
        </w:tc>
        <w:tc>
          <w:tcPr>
            <w:tcW w:w="3260" w:type="dxa"/>
            <w:vAlign w:val="center"/>
          </w:tcPr>
          <w:p w14:paraId="628BF257" w14:textId="282AEFCC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krótszy niż 180 dni i nie dłuższy niż 365 dni</w:t>
            </w:r>
          </w:p>
        </w:tc>
        <w:tc>
          <w:tcPr>
            <w:tcW w:w="3260" w:type="dxa"/>
            <w:gridSpan w:val="2"/>
            <w:vAlign w:val="center"/>
          </w:tcPr>
          <w:p w14:paraId="2DDCE1FA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3FEAB5C4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44D5E248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C56C869" w14:textId="5284E424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Okres przechowywania spadochronu głównego i zapasowego ułożonego magazynowo</w:t>
            </w:r>
          </w:p>
        </w:tc>
        <w:tc>
          <w:tcPr>
            <w:tcW w:w="3260" w:type="dxa"/>
            <w:vAlign w:val="center"/>
          </w:tcPr>
          <w:p w14:paraId="08533F56" w14:textId="651BC984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Nie krótszy niż 180 dni i nie dłuższy niż 365 dni</w:t>
            </w:r>
          </w:p>
        </w:tc>
        <w:tc>
          <w:tcPr>
            <w:tcW w:w="3260" w:type="dxa"/>
            <w:gridSpan w:val="2"/>
            <w:vAlign w:val="center"/>
          </w:tcPr>
          <w:p w14:paraId="7CB17BE3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079988A4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1106165E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194D018" w14:textId="1CD61970" w:rsidR="0058450D" w:rsidRPr="008A283A" w:rsidRDefault="005E232F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Sposób otwarcia spadochronu głównego</w:t>
            </w:r>
          </w:p>
        </w:tc>
        <w:tc>
          <w:tcPr>
            <w:tcW w:w="3260" w:type="dxa"/>
            <w:vAlign w:val="center"/>
          </w:tcPr>
          <w:p w14:paraId="34FFE82F" w14:textId="7D79D32F" w:rsidR="0058450D" w:rsidRPr="008A283A" w:rsidRDefault="005E232F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samoczynny system otwarcia z liną wyciągającą mocowaną (wiązaną) do osłony czaszy spadochronu głównego </w:t>
            </w:r>
          </w:p>
        </w:tc>
        <w:tc>
          <w:tcPr>
            <w:tcW w:w="3260" w:type="dxa"/>
            <w:gridSpan w:val="2"/>
            <w:vAlign w:val="center"/>
          </w:tcPr>
          <w:p w14:paraId="587B2725" w14:textId="521F70EE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4051D063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42E48B31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BCA566" w14:textId="39C0C574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Sposób otwarcia spadochronu zapasowego </w:t>
            </w:r>
          </w:p>
        </w:tc>
        <w:tc>
          <w:tcPr>
            <w:tcW w:w="3260" w:type="dxa"/>
            <w:vAlign w:val="center"/>
          </w:tcPr>
          <w:p w14:paraId="642228A6" w14:textId="50F0EBB8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poprzez uchwyt wyzwalający</w:t>
            </w:r>
          </w:p>
        </w:tc>
        <w:tc>
          <w:tcPr>
            <w:tcW w:w="3260" w:type="dxa"/>
            <w:gridSpan w:val="2"/>
            <w:vAlign w:val="center"/>
          </w:tcPr>
          <w:p w14:paraId="0D7E460B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15EE529F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4120FDF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F7ABF0" w14:textId="104F3836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Spadochron zapasowy wyposażony w „sprężynę wspomagającą” proces otwarcia</w:t>
            </w:r>
          </w:p>
        </w:tc>
        <w:tc>
          <w:tcPr>
            <w:tcW w:w="3260" w:type="dxa"/>
            <w:vAlign w:val="center"/>
          </w:tcPr>
          <w:p w14:paraId="3F8BEC6E" w14:textId="32C7902E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  <w:gridSpan w:val="2"/>
            <w:vAlign w:val="center"/>
          </w:tcPr>
          <w:p w14:paraId="75FA146B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5BF85611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0E469DD5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621B7D0" w14:textId="2EDC2DCF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Opcja sterowania czaszą</w:t>
            </w:r>
            <w:r w:rsidR="005E232F" w:rsidRPr="008A283A">
              <w:rPr>
                <w:rFonts w:ascii="Arial" w:hAnsi="Arial" w:cs="Arial"/>
                <w:sz w:val="20"/>
                <w:szCs w:val="20"/>
              </w:rPr>
              <w:t xml:space="preserve"> główną</w:t>
            </w:r>
            <w:r w:rsidRPr="008A28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69592B0" w14:textId="7A916E09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poprzez wykonanie obrotu za pomocą uchwytów sterowniczych</w:t>
            </w:r>
          </w:p>
        </w:tc>
        <w:tc>
          <w:tcPr>
            <w:tcW w:w="3260" w:type="dxa"/>
            <w:gridSpan w:val="2"/>
            <w:vAlign w:val="center"/>
          </w:tcPr>
          <w:p w14:paraId="0329218A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0042FE12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3D19E0A8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CC69DF" w14:textId="38AE249C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 xml:space="preserve">Spadochron główny oraz spadochron zapasowy </w:t>
            </w:r>
          </w:p>
        </w:tc>
        <w:tc>
          <w:tcPr>
            <w:tcW w:w="3260" w:type="dxa"/>
            <w:vAlign w:val="center"/>
          </w:tcPr>
          <w:p w14:paraId="51064583" w14:textId="0BBF3EB4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zapewnia stateczne opadanie oraz możliwość wykonywania ślizgów kierunkowych i głębokich z wykluczeniem składania się czaszy</w:t>
            </w:r>
          </w:p>
        </w:tc>
        <w:tc>
          <w:tcPr>
            <w:tcW w:w="3260" w:type="dxa"/>
            <w:gridSpan w:val="2"/>
            <w:vAlign w:val="center"/>
          </w:tcPr>
          <w:p w14:paraId="78A58096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3DE5C040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2AA7B404" w14:textId="77777777" w:rsidR="0058450D" w:rsidRPr="008A283A" w:rsidRDefault="0058450D" w:rsidP="0058450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B1DA5C" w14:textId="4FAC43F2" w:rsidR="0058450D" w:rsidRPr="008A283A" w:rsidRDefault="0058450D" w:rsidP="0058450D">
            <w:pPr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Współpraca spadochronu zapasowego ze spadochronem głównym w opcji niesterowanej oraz sterowanej</w:t>
            </w:r>
          </w:p>
        </w:tc>
        <w:tc>
          <w:tcPr>
            <w:tcW w:w="3260" w:type="dxa"/>
            <w:vAlign w:val="center"/>
          </w:tcPr>
          <w:p w14:paraId="0813049F" w14:textId="6BE05BA3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8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  <w:gridSpan w:val="2"/>
            <w:vAlign w:val="center"/>
          </w:tcPr>
          <w:p w14:paraId="5CA4EB5A" w14:textId="77777777" w:rsidR="0058450D" w:rsidRPr="008A283A" w:rsidRDefault="0058450D" w:rsidP="005845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70139583" w14:textId="77777777" w:rsidTr="00384C77">
        <w:trPr>
          <w:gridAfter w:val="1"/>
          <w:wAfter w:w="7" w:type="dxa"/>
          <w:trHeight w:val="794"/>
        </w:trPr>
        <w:tc>
          <w:tcPr>
            <w:tcW w:w="851" w:type="dxa"/>
            <w:vAlign w:val="center"/>
          </w:tcPr>
          <w:p w14:paraId="1AC44E84" w14:textId="77777777" w:rsidR="008A283A" w:rsidRPr="008A283A" w:rsidRDefault="008A283A" w:rsidP="008A283A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804E428" w14:textId="174B064B" w:rsidR="008A283A" w:rsidRPr="008A283A" w:rsidRDefault="008A283A" w:rsidP="008A2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Spadochron u</w:t>
            </w:r>
            <w:r w:rsidRPr="00B87327">
              <w:rPr>
                <w:rFonts w:ascii="Arial" w:hAnsi="Arial" w:cs="Arial"/>
                <w:sz w:val="20"/>
                <w:szCs w:val="20"/>
              </w:rPr>
              <w:t>żytkowan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B87327">
              <w:rPr>
                <w:rFonts w:ascii="Arial" w:hAnsi="Arial" w:cs="Arial"/>
                <w:sz w:val="20"/>
                <w:szCs w:val="20"/>
              </w:rPr>
              <w:t xml:space="preserve"> obecnie przez armie NATO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posiadający (dla spadochronu zapasowego) </w:t>
            </w:r>
            <w:r w:rsidRPr="00B87327">
              <w:rPr>
                <w:rFonts w:ascii="Arial" w:hAnsi="Arial" w:cs="Arial"/>
                <w:sz w:val="20"/>
                <w:szCs w:val="20"/>
              </w:rPr>
              <w:t>certyfik</w:t>
            </w:r>
            <w:r>
              <w:rPr>
                <w:rFonts w:ascii="Arial" w:hAnsi="Arial" w:cs="Arial"/>
                <w:sz w:val="20"/>
                <w:szCs w:val="20"/>
              </w:rPr>
              <w:t>at wydany</w:t>
            </w:r>
            <w:r w:rsidRPr="00B87327">
              <w:rPr>
                <w:rFonts w:ascii="Arial" w:hAnsi="Arial" w:cs="Arial"/>
                <w:sz w:val="20"/>
                <w:szCs w:val="20"/>
              </w:rPr>
              <w:t xml:space="preserve"> wg EASA ETSO C23 min. Lit. „d” lub PIA TS-135 lub certyfikat wydany przez inny uprawniony organ narodowy lub wojskowy państwa należącego do NATO</w:t>
            </w:r>
          </w:p>
        </w:tc>
        <w:tc>
          <w:tcPr>
            <w:tcW w:w="3260" w:type="dxa"/>
            <w:vAlign w:val="center"/>
          </w:tcPr>
          <w:p w14:paraId="6EB1DA4C" w14:textId="51FD8C00" w:rsidR="008A283A" w:rsidRPr="008A283A" w:rsidRDefault="008A283A" w:rsidP="008A28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Wpisać certyfikację którą spełnia</w:t>
            </w:r>
          </w:p>
        </w:tc>
        <w:tc>
          <w:tcPr>
            <w:tcW w:w="3260" w:type="dxa"/>
            <w:gridSpan w:val="2"/>
            <w:vAlign w:val="center"/>
          </w:tcPr>
          <w:p w14:paraId="38109AE8" w14:textId="77777777" w:rsidR="008A283A" w:rsidRPr="008A283A" w:rsidRDefault="008A283A" w:rsidP="008A28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83A" w:rsidRPr="002766C9" w14:paraId="0318247C" w14:textId="77777777" w:rsidTr="00384C77">
        <w:trPr>
          <w:trHeight w:val="920"/>
        </w:trPr>
        <w:tc>
          <w:tcPr>
            <w:tcW w:w="6244" w:type="dxa"/>
            <w:gridSpan w:val="4"/>
            <w:vAlign w:val="center"/>
          </w:tcPr>
          <w:p w14:paraId="12705CAA" w14:textId="77777777" w:rsidR="008A283A" w:rsidRPr="000D2DF8" w:rsidRDefault="008A283A" w:rsidP="008A283A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</w:t>
            </w:r>
            <w:r w:rsidRPr="000D2DF8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oferowany przez Wykonawcę </w:t>
            </w:r>
          </w:p>
          <w:p w14:paraId="5C0F683F" w14:textId="7B9F96AF" w:rsidR="008A283A" w:rsidRPr="002766C9" w:rsidRDefault="008A283A" w:rsidP="008A283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2DF8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260" w:type="dxa"/>
            <w:gridSpan w:val="2"/>
            <w:vAlign w:val="center"/>
          </w:tcPr>
          <w:p w14:paraId="561F1FE9" w14:textId="77777777" w:rsidR="008A283A" w:rsidRPr="002766C9" w:rsidRDefault="008A283A" w:rsidP="008A283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F5A824" w14:textId="77777777" w:rsidR="000722DA" w:rsidRDefault="000722DA" w:rsidP="003A13A1">
      <w:pPr>
        <w:spacing w:after="0"/>
        <w:rPr>
          <w:rFonts w:ascii="Arial" w:hAnsi="Arial" w:cs="Arial"/>
          <w:sz w:val="24"/>
          <w:szCs w:val="24"/>
        </w:rPr>
      </w:pPr>
    </w:p>
    <w:p w14:paraId="52F3F2C3" w14:textId="77777777" w:rsidR="00962261" w:rsidRPr="00C800CF" w:rsidRDefault="00962261" w:rsidP="00211A70">
      <w:pPr>
        <w:spacing w:after="0" w:line="240" w:lineRule="auto"/>
        <w:jc w:val="both"/>
        <w:rPr>
          <w:rFonts w:ascii="Arial" w:hAnsi="Arial" w:cs="Arial"/>
          <w:b/>
          <w:sz w:val="18"/>
          <w:szCs w:val="20"/>
        </w:rPr>
      </w:pPr>
    </w:p>
    <w:p w14:paraId="1E9753AD" w14:textId="2CE8A008" w:rsidR="00211A70" w:rsidRPr="00211A70" w:rsidRDefault="00211A70" w:rsidP="00211A70">
      <w:pPr>
        <w:spacing w:after="0" w:line="240" w:lineRule="auto"/>
        <w:jc w:val="both"/>
        <w:rPr>
          <w:rFonts w:ascii="Arial" w:hAnsi="Arial" w:cs="Arial"/>
          <w:b/>
          <w:sz w:val="18"/>
          <w:szCs w:val="20"/>
        </w:rPr>
      </w:pPr>
      <w:r w:rsidRPr="00211A70">
        <w:rPr>
          <w:rFonts w:ascii="Arial" w:hAnsi="Arial" w:cs="Arial"/>
          <w:b/>
          <w:sz w:val="18"/>
          <w:szCs w:val="20"/>
        </w:rPr>
        <w:t xml:space="preserve">Zamawiający dopuszcza rozwiązania równoważne, jakim muszą odpowiadać produkty oferowane przez Wykonawcę, aby zostały spełnione wymagania stawiane przez Zamawiającego. Rozwiązania równoważne nie mogą być gorsze w stosunku do pożądanych przez </w:t>
      </w:r>
      <w:r w:rsidR="00384597" w:rsidRPr="00211A70">
        <w:rPr>
          <w:rFonts w:ascii="Arial" w:hAnsi="Arial" w:cs="Arial"/>
          <w:b/>
          <w:sz w:val="18"/>
          <w:szCs w:val="20"/>
        </w:rPr>
        <w:t>Zamawiającego</w:t>
      </w:r>
      <w:r w:rsidRPr="00211A70">
        <w:rPr>
          <w:rFonts w:ascii="Arial" w:hAnsi="Arial" w:cs="Arial"/>
          <w:b/>
          <w:sz w:val="18"/>
          <w:szCs w:val="20"/>
        </w:rPr>
        <w:t>, wskazanych w kol. „b”.</w:t>
      </w:r>
    </w:p>
    <w:p w14:paraId="2E71E4D9" w14:textId="77777777" w:rsidR="00211A70" w:rsidRDefault="00211A70" w:rsidP="007721CC">
      <w:pPr>
        <w:spacing w:after="0" w:line="360" w:lineRule="auto"/>
        <w:jc w:val="both"/>
        <w:rPr>
          <w:rFonts w:ascii="Arial" w:hAnsi="Arial" w:cs="Arial"/>
          <w:b/>
          <w:color w:val="FF0000"/>
          <w:sz w:val="18"/>
          <w:szCs w:val="20"/>
        </w:rPr>
      </w:pPr>
    </w:p>
    <w:p w14:paraId="62FB681C" w14:textId="750D9442" w:rsidR="007721CC" w:rsidRPr="005877E8" w:rsidRDefault="00E66420" w:rsidP="007721CC">
      <w:pPr>
        <w:spacing w:after="0" w:line="360" w:lineRule="auto"/>
        <w:jc w:val="both"/>
        <w:rPr>
          <w:rFonts w:ascii="Arial" w:hAnsi="Arial" w:cs="Arial"/>
          <w:b/>
          <w:color w:val="FF0000"/>
          <w:sz w:val="18"/>
          <w:szCs w:val="20"/>
        </w:rPr>
      </w:pPr>
      <w:r>
        <w:rPr>
          <w:rFonts w:ascii="Arial" w:hAnsi="Arial" w:cs="Arial"/>
          <w:b/>
          <w:color w:val="FF0000"/>
          <w:sz w:val="18"/>
          <w:szCs w:val="20"/>
        </w:rPr>
        <w:t xml:space="preserve"> </w:t>
      </w:r>
    </w:p>
    <w:p w14:paraId="4CACA777" w14:textId="77777777" w:rsidR="00E66420" w:rsidRPr="001514A0" w:rsidRDefault="00E66420" w:rsidP="00E66420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514A0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16A16B4E" w14:textId="77777777" w:rsidR="00E66420" w:rsidRPr="001514A0" w:rsidRDefault="00E66420" w:rsidP="00E66420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514A0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499E5877" w14:textId="77777777" w:rsidR="00E66420" w:rsidRPr="001514A0" w:rsidRDefault="00E66420" w:rsidP="00E66420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AB4B1DC" w14:textId="77777777" w:rsidR="00E66420" w:rsidRPr="001514A0" w:rsidRDefault="00E66420" w:rsidP="00E66420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514A0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p w14:paraId="65DF69FB" w14:textId="1C9CF696" w:rsidR="008C7BA5" w:rsidRPr="005877E8" w:rsidRDefault="008C7BA5" w:rsidP="005877E8">
      <w:pPr>
        <w:spacing w:before="120"/>
        <w:jc w:val="both"/>
        <w:rPr>
          <w:rFonts w:ascii="Arial" w:hAnsi="Arial" w:cs="Arial"/>
          <w:b/>
          <w:color w:val="FF0000"/>
          <w:sz w:val="18"/>
        </w:rPr>
      </w:pPr>
    </w:p>
    <w:sectPr w:rsidR="008C7BA5" w:rsidRPr="005877E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DE969" w14:textId="77777777" w:rsidR="00DF626E" w:rsidRDefault="00DF626E" w:rsidP="008C7BA5">
      <w:pPr>
        <w:spacing w:after="0" w:line="240" w:lineRule="auto"/>
      </w:pPr>
      <w:r>
        <w:separator/>
      </w:r>
    </w:p>
  </w:endnote>
  <w:endnote w:type="continuationSeparator" w:id="0">
    <w:p w14:paraId="4A3BCA74" w14:textId="77777777" w:rsidR="00DF626E" w:rsidRDefault="00DF626E" w:rsidP="008C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B8DDC" w14:textId="77777777" w:rsidR="00DF626E" w:rsidRDefault="00DF626E" w:rsidP="008C7BA5">
      <w:pPr>
        <w:spacing w:after="0" w:line="240" w:lineRule="auto"/>
      </w:pPr>
      <w:r>
        <w:separator/>
      </w:r>
    </w:p>
  </w:footnote>
  <w:footnote w:type="continuationSeparator" w:id="0">
    <w:p w14:paraId="7598EDDC" w14:textId="77777777" w:rsidR="00DF626E" w:rsidRDefault="00DF626E" w:rsidP="008C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F69F" w14:textId="0370F2D5" w:rsidR="005877E8" w:rsidRPr="00185373" w:rsidRDefault="005877E8" w:rsidP="005877E8">
    <w:pPr>
      <w:pStyle w:val="Nagwek"/>
      <w:jc w:val="right"/>
      <w:rPr>
        <w:b/>
      </w:rPr>
    </w:pPr>
    <w:r w:rsidRPr="00185373">
      <w:rPr>
        <w:b/>
      </w:rPr>
      <w:t>Załącznik nr 10</w:t>
    </w:r>
    <w:r w:rsidR="00EF77A9">
      <w:rPr>
        <w:b/>
      </w:rPr>
      <w:t>a</w:t>
    </w:r>
    <w:r w:rsidRPr="00185373">
      <w:rPr>
        <w:b/>
      </w:rPr>
      <w:t xml:space="preserve"> do SWZ</w:t>
    </w:r>
  </w:p>
  <w:p w14:paraId="66F42CA7" w14:textId="77777777" w:rsidR="005877E8" w:rsidRDefault="005877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241"/>
    <w:multiLevelType w:val="hybridMultilevel"/>
    <w:tmpl w:val="FCC01D7E"/>
    <w:lvl w:ilvl="0" w:tplc="0374E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6EEC"/>
    <w:multiLevelType w:val="hybridMultilevel"/>
    <w:tmpl w:val="36A22ED0"/>
    <w:lvl w:ilvl="0" w:tplc="623AE7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820"/>
    <w:multiLevelType w:val="hybridMultilevel"/>
    <w:tmpl w:val="6E46DB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ED4"/>
    <w:multiLevelType w:val="hybridMultilevel"/>
    <w:tmpl w:val="AE42B2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466B3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273E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4A4F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37AED"/>
    <w:multiLevelType w:val="hybridMultilevel"/>
    <w:tmpl w:val="D304C1C8"/>
    <w:lvl w:ilvl="0" w:tplc="34DAE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C285D"/>
    <w:multiLevelType w:val="hybridMultilevel"/>
    <w:tmpl w:val="39E6A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04C41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17C79"/>
    <w:multiLevelType w:val="hybridMultilevel"/>
    <w:tmpl w:val="777AE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768"/>
    <w:multiLevelType w:val="hybridMultilevel"/>
    <w:tmpl w:val="AE42B2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05F2D"/>
    <w:multiLevelType w:val="hybridMultilevel"/>
    <w:tmpl w:val="ACD4C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85F10"/>
    <w:multiLevelType w:val="hybridMultilevel"/>
    <w:tmpl w:val="C306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65B61"/>
    <w:multiLevelType w:val="hybridMultilevel"/>
    <w:tmpl w:val="59D80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564D2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D4A32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C129E"/>
    <w:multiLevelType w:val="hybridMultilevel"/>
    <w:tmpl w:val="AD148680"/>
    <w:lvl w:ilvl="0" w:tplc="7E7605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A24A7"/>
    <w:multiLevelType w:val="hybridMultilevel"/>
    <w:tmpl w:val="954E6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70E83"/>
    <w:multiLevelType w:val="hybridMultilevel"/>
    <w:tmpl w:val="30302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43734"/>
    <w:multiLevelType w:val="hybridMultilevel"/>
    <w:tmpl w:val="E90625F8"/>
    <w:lvl w:ilvl="0" w:tplc="A232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80E1F"/>
    <w:multiLevelType w:val="hybridMultilevel"/>
    <w:tmpl w:val="D2AA82B8"/>
    <w:lvl w:ilvl="0" w:tplc="623AE7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D90466"/>
    <w:multiLevelType w:val="hybridMultilevel"/>
    <w:tmpl w:val="D506C3B2"/>
    <w:lvl w:ilvl="0" w:tplc="77A44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A7DD0"/>
    <w:multiLevelType w:val="hybridMultilevel"/>
    <w:tmpl w:val="39E6A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A1B3C"/>
    <w:multiLevelType w:val="hybridMultilevel"/>
    <w:tmpl w:val="0E5C5D9C"/>
    <w:lvl w:ilvl="0" w:tplc="9D6EF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626CF"/>
    <w:multiLevelType w:val="hybridMultilevel"/>
    <w:tmpl w:val="17AA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1B350F"/>
    <w:multiLevelType w:val="hybridMultilevel"/>
    <w:tmpl w:val="BCBAE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DA57E6"/>
    <w:multiLevelType w:val="hybridMultilevel"/>
    <w:tmpl w:val="BA5E1D34"/>
    <w:lvl w:ilvl="0" w:tplc="23DE4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66B72"/>
    <w:multiLevelType w:val="hybridMultilevel"/>
    <w:tmpl w:val="BCBAE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66EEA"/>
    <w:multiLevelType w:val="hybridMultilevel"/>
    <w:tmpl w:val="987C6766"/>
    <w:lvl w:ilvl="0" w:tplc="80941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617F0"/>
    <w:multiLevelType w:val="hybridMultilevel"/>
    <w:tmpl w:val="1EEE0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352F3"/>
    <w:multiLevelType w:val="hybridMultilevel"/>
    <w:tmpl w:val="39E6A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31D87"/>
    <w:multiLevelType w:val="hybridMultilevel"/>
    <w:tmpl w:val="11347A02"/>
    <w:lvl w:ilvl="0" w:tplc="D4266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A35AC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517E0"/>
    <w:multiLevelType w:val="hybridMultilevel"/>
    <w:tmpl w:val="59F44E3C"/>
    <w:lvl w:ilvl="0" w:tplc="71821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11817"/>
    <w:multiLevelType w:val="hybridMultilevel"/>
    <w:tmpl w:val="9B8CCF4E"/>
    <w:lvl w:ilvl="0" w:tplc="EF54F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07832"/>
    <w:multiLevelType w:val="hybridMultilevel"/>
    <w:tmpl w:val="17AA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F155B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256C9"/>
    <w:multiLevelType w:val="hybridMultilevel"/>
    <w:tmpl w:val="4EC2B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3D5C23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11F63"/>
    <w:multiLevelType w:val="hybridMultilevel"/>
    <w:tmpl w:val="97644C1C"/>
    <w:lvl w:ilvl="0" w:tplc="02829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8943A3"/>
    <w:multiLevelType w:val="hybridMultilevel"/>
    <w:tmpl w:val="F97CA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27490F"/>
    <w:multiLevelType w:val="hybridMultilevel"/>
    <w:tmpl w:val="C3005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41298"/>
    <w:multiLevelType w:val="hybridMultilevel"/>
    <w:tmpl w:val="D7849B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32810E3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87107"/>
    <w:multiLevelType w:val="hybridMultilevel"/>
    <w:tmpl w:val="B7CC973C"/>
    <w:lvl w:ilvl="0" w:tplc="8ED04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418AC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31"/>
  </w:num>
  <w:num w:numId="5">
    <w:abstractNumId w:val="13"/>
  </w:num>
  <w:num w:numId="6">
    <w:abstractNumId w:val="17"/>
  </w:num>
  <w:num w:numId="7">
    <w:abstractNumId w:val="4"/>
  </w:num>
  <w:num w:numId="8">
    <w:abstractNumId w:val="25"/>
  </w:num>
  <w:num w:numId="9">
    <w:abstractNumId w:val="39"/>
  </w:num>
  <w:num w:numId="10">
    <w:abstractNumId w:val="41"/>
  </w:num>
  <w:num w:numId="11">
    <w:abstractNumId w:val="26"/>
  </w:num>
  <w:num w:numId="12">
    <w:abstractNumId w:val="36"/>
  </w:num>
  <w:num w:numId="13">
    <w:abstractNumId w:val="10"/>
  </w:num>
  <w:num w:numId="14">
    <w:abstractNumId w:val="28"/>
  </w:num>
  <w:num w:numId="15">
    <w:abstractNumId w:val="9"/>
  </w:num>
  <w:num w:numId="16">
    <w:abstractNumId w:val="38"/>
  </w:num>
  <w:num w:numId="17">
    <w:abstractNumId w:val="23"/>
  </w:num>
  <w:num w:numId="18">
    <w:abstractNumId w:val="8"/>
  </w:num>
  <w:num w:numId="19">
    <w:abstractNumId w:val="14"/>
  </w:num>
  <w:num w:numId="20">
    <w:abstractNumId w:val="12"/>
  </w:num>
  <w:num w:numId="21">
    <w:abstractNumId w:val="0"/>
  </w:num>
  <w:num w:numId="22">
    <w:abstractNumId w:val="7"/>
  </w:num>
  <w:num w:numId="23">
    <w:abstractNumId w:val="22"/>
  </w:num>
  <w:num w:numId="24">
    <w:abstractNumId w:val="45"/>
  </w:num>
  <w:num w:numId="25">
    <w:abstractNumId w:val="27"/>
  </w:num>
  <w:num w:numId="26">
    <w:abstractNumId w:val="34"/>
  </w:num>
  <w:num w:numId="27">
    <w:abstractNumId w:val="35"/>
  </w:num>
  <w:num w:numId="28">
    <w:abstractNumId w:val="20"/>
  </w:num>
  <w:num w:numId="29">
    <w:abstractNumId w:val="24"/>
  </w:num>
  <w:num w:numId="30">
    <w:abstractNumId w:val="40"/>
  </w:num>
  <w:num w:numId="31">
    <w:abstractNumId w:val="32"/>
  </w:num>
  <w:num w:numId="32">
    <w:abstractNumId w:val="37"/>
  </w:num>
  <w:num w:numId="33">
    <w:abstractNumId w:val="6"/>
  </w:num>
  <w:num w:numId="34">
    <w:abstractNumId w:val="46"/>
  </w:num>
  <w:num w:numId="35">
    <w:abstractNumId w:val="15"/>
  </w:num>
  <w:num w:numId="36">
    <w:abstractNumId w:val="44"/>
  </w:num>
  <w:num w:numId="37">
    <w:abstractNumId w:val="33"/>
  </w:num>
  <w:num w:numId="38">
    <w:abstractNumId w:val="21"/>
  </w:num>
  <w:num w:numId="39">
    <w:abstractNumId w:val="1"/>
  </w:num>
  <w:num w:numId="40">
    <w:abstractNumId w:val="18"/>
  </w:num>
  <w:num w:numId="41">
    <w:abstractNumId w:val="11"/>
  </w:num>
  <w:num w:numId="42">
    <w:abstractNumId w:val="3"/>
  </w:num>
  <w:num w:numId="43">
    <w:abstractNumId w:val="43"/>
  </w:num>
  <w:num w:numId="44">
    <w:abstractNumId w:val="29"/>
  </w:num>
  <w:num w:numId="45">
    <w:abstractNumId w:val="19"/>
  </w:num>
  <w:num w:numId="46">
    <w:abstractNumId w:val="42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AB"/>
    <w:rsid w:val="00003F78"/>
    <w:rsid w:val="000069F6"/>
    <w:rsid w:val="00012D21"/>
    <w:rsid w:val="000248ED"/>
    <w:rsid w:val="000409BF"/>
    <w:rsid w:val="0006347D"/>
    <w:rsid w:val="000722DA"/>
    <w:rsid w:val="00081963"/>
    <w:rsid w:val="0008607B"/>
    <w:rsid w:val="00094044"/>
    <w:rsid w:val="000B3C38"/>
    <w:rsid w:val="000D2426"/>
    <w:rsid w:val="000E4507"/>
    <w:rsid w:val="000F1594"/>
    <w:rsid w:val="000F4E4B"/>
    <w:rsid w:val="001202CF"/>
    <w:rsid w:val="001514A0"/>
    <w:rsid w:val="0015739D"/>
    <w:rsid w:val="00160325"/>
    <w:rsid w:val="00173F19"/>
    <w:rsid w:val="001A2DA7"/>
    <w:rsid w:val="001B5BCA"/>
    <w:rsid w:val="001D7CCF"/>
    <w:rsid w:val="001E6774"/>
    <w:rsid w:val="0020726D"/>
    <w:rsid w:val="00211A70"/>
    <w:rsid w:val="00214FA1"/>
    <w:rsid w:val="00226BE9"/>
    <w:rsid w:val="0025105C"/>
    <w:rsid w:val="002766C9"/>
    <w:rsid w:val="00284D60"/>
    <w:rsid w:val="00312BEF"/>
    <w:rsid w:val="003334F7"/>
    <w:rsid w:val="003745D7"/>
    <w:rsid w:val="00384597"/>
    <w:rsid w:val="00384C77"/>
    <w:rsid w:val="0038767D"/>
    <w:rsid w:val="00391195"/>
    <w:rsid w:val="003914AB"/>
    <w:rsid w:val="00393059"/>
    <w:rsid w:val="003A0574"/>
    <w:rsid w:val="003A13A1"/>
    <w:rsid w:val="003B127A"/>
    <w:rsid w:val="003D5D8C"/>
    <w:rsid w:val="003F65D8"/>
    <w:rsid w:val="004237D7"/>
    <w:rsid w:val="00452D1B"/>
    <w:rsid w:val="00467E40"/>
    <w:rsid w:val="004B2AF3"/>
    <w:rsid w:val="004D73C8"/>
    <w:rsid w:val="0051134F"/>
    <w:rsid w:val="00550406"/>
    <w:rsid w:val="00552AF4"/>
    <w:rsid w:val="00564BF0"/>
    <w:rsid w:val="00567F18"/>
    <w:rsid w:val="0058450D"/>
    <w:rsid w:val="005877E8"/>
    <w:rsid w:val="00593B19"/>
    <w:rsid w:val="005B6CDB"/>
    <w:rsid w:val="005C6397"/>
    <w:rsid w:val="005C7A9C"/>
    <w:rsid w:val="005E232F"/>
    <w:rsid w:val="0065505D"/>
    <w:rsid w:val="006613A6"/>
    <w:rsid w:val="006831C1"/>
    <w:rsid w:val="00697D27"/>
    <w:rsid w:val="006B777F"/>
    <w:rsid w:val="00704F24"/>
    <w:rsid w:val="007557DC"/>
    <w:rsid w:val="00766C2B"/>
    <w:rsid w:val="007721CC"/>
    <w:rsid w:val="00784EFF"/>
    <w:rsid w:val="00794077"/>
    <w:rsid w:val="007C1E41"/>
    <w:rsid w:val="007D32A2"/>
    <w:rsid w:val="00840A61"/>
    <w:rsid w:val="00844471"/>
    <w:rsid w:val="008542FD"/>
    <w:rsid w:val="0087018A"/>
    <w:rsid w:val="008A283A"/>
    <w:rsid w:val="008C553D"/>
    <w:rsid w:val="008C7BA5"/>
    <w:rsid w:val="008D2574"/>
    <w:rsid w:val="008D48AF"/>
    <w:rsid w:val="008E1073"/>
    <w:rsid w:val="009102F3"/>
    <w:rsid w:val="00913C37"/>
    <w:rsid w:val="00962261"/>
    <w:rsid w:val="009B1DE6"/>
    <w:rsid w:val="009B4BEA"/>
    <w:rsid w:val="009B573B"/>
    <w:rsid w:val="009C3B9F"/>
    <w:rsid w:val="009C58B0"/>
    <w:rsid w:val="009F545A"/>
    <w:rsid w:val="009F72B0"/>
    <w:rsid w:val="00A27B00"/>
    <w:rsid w:val="00A353A6"/>
    <w:rsid w:val="00A60802"/>
    <w:rsid w:val="00A66BEF"/>
    <w:rsid w:val="00A671E4"/>
    <w:rsid w:val="00A77481"/>
    <w:rsid w:val="00A933DE"/>
    <w:rsid w:val="00AE3F80"/>
    <w:rsid w:val="00AF47B9"/>
    <w:rsid w:val="00B10FAA"/>
    <w:rsid w:val="00B242D7"/>
    <w:rsid w:val="00B2710B"/>
    <w:rsid w:val="00B35401"/>
    <w:rsid w:val="00B5686A"/>
    <w:rsid w:val="00B61B3C"/>
    <w:rsid w:val="00B87327"/>
    <w:rsid w:val="00BA2F59"/>
    <w:rsid w:val="00BC22B7"/>
    <w:rsid w:val="00C0095C"/>
    <w:rsid w:val="00C154C3"/>
    <w:rsid w:val="00C1562C"/>
    <w:rsid w:val="00C217D6"/>
    <w:rsid w:val="00C31791"/>
    <w:rsid w:val="00C326F2"/>
    <w:rsid w:val="00C504A5"/>
    <w:rsid w:val="00C67D65"/>
    <w:rsid w:val="00C800CF"/>
    <w:rsid w:val="00CB49CA"/>
    <w:rsid w:val="00CE695C"/>
    <w:rsid w:val="00D67E4A"/>
    <w:rsid w:val="00DF626E"/>
    <w:rsid w:val="00E1098F"/>
    <w:rsid w:val="00E32CA2"/>
    <w:rsid w:val="00E427CD"/>
    <w:rsid w:val="00E434E1"/>
    <w:rsid w:val="00E51D60"/>
    <w:rsid w:val="00E51DE4"/>
    <w:rsid w:val="00E57A7C"/>
    <w:rsid w:val="00E66420"/>
    <w:rsid w:val="00E91A33"/>
    <w:rsid w:val="00EC325B"/>
    <w:rsid w:val="00EF70CC"/>
    <w:rsid w:val="00EF77A9"/>
    <w:rsid w:val="00F175DC"/>
    <w:rsid w:val="00F26693"/>
    <w:rsid w:val="00F642D7"/>
    <w:rsid w:val="00FB4579"/>
    <w:rsid w:val="00FC3000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AC35C"/>
  <w15:chartTrackingRefBased/>
  <w15:docId w15:val="{CF785144-8135-4387-83B1-351B0689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7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BA5"/>
  </w:style>
  <w:style w:type="paragraph" w:styleId="Stopka">
    <w:name w:val="footer"/>
    <w:basedOn w:val="Normalny"/>
    <w:link w:val="StopkaZnak"/>
    <w:uiPriority w:val="99"/>
    <w:unhideWhenUsed/>
    <w:rsid w:val="008C7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BA5"/>
  </w:style>
  <w:style w:type="table" w:styleId="Tabela-Siatka">
    <w:name w:val="Table Grid"/>
    <w:basedOn w:val="Standardowy"/>
    <w:uiPriority w:val="39"/>
    <w:rsid w:val="008C7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8C7BA5"/>
    <w:pPr>
      <w:suppressLineNumber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rsid w:val="00913C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3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13C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3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C3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7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241D5-568A-4E81-AF84-5457829A38F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AE27AD-E17A-4BBD-A2B3-BD334912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Kurdziel Magdalena</cp:lastModifiedBy>
  <cp:revision>15</cp:revision>
  <cp:lastPrinted>2026-02-25T11:18:00Z</cp:lastPrinted>
  <dcterms:created xsi:type="dcterms:W3CDTF">2026-02-25T12:19:00Z</dcterms:created>
  <dcterms:modified xsi:type="dcterms:W3CDTF">2026-03-05T09:21:00Z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d4db67dc-d050-479b-842f-6f46cd781e86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Strychalska Karolina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10.80.41.136</vt:lpwstr>
  </property>
  <property fmtid="{D5CDD505-2E9C-101B-9397-08002B2CF9AE}" pid="11" name="bjPortionMark">
    <vt:lpwstr>[]</vt:lpwstr>
  </property>
</Properties>
</file>